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05B1" w14:textId="7A5B87FC" w:rsidR="00B66181" w:rsidRDefault="00B66181">
      <w:r>
        <w:t>Schema voor lj3, p1 expert</w:t>
      </w:r>
      <w:r w:rsidR="00D445AE">
        <w:t xml:space="preserve"> </w:t>
      </w:r>
      <w:r>
        <w:t xml:space="preserve">les 1 vrijdag 6 september 2019 </w:t>
      </w:r>
    </w:p>
    <w:tbl>
      <w:tblPr>
        <w:tblStyle w:val="Tabelraster"/>
        <w:tblW w:w="0" w:type="auto"/>
        <w:tblLayout w:type="fixed"/>
        <w:tblLook w:val="04A0" w:firstRow="1" w:lastRow="0" w:firstColumn="1" w:lastColumn="0" w:noHBand="0" w:noVBand="1"/>
      </w:tblPr>
      <w:tblGrid>
        <w:gridCol w:w="1267"/>
        <w:gridCol w:w="2545"/>
        <w:gridCol w:w="2545"/>
        <w:gridCol w:w="2546"/>
        <w:gridCol w:w="2545"/>
        <w:gridCol w:w="2546"/>
      </w:tblGrid>
      <w:tr w:rsidR="00100DCD" w:rsidRPr="006C63AA" w14:paraId="39454B24" w14:textId="77777777" w:rsidTr="00787FF1">
        <w:trPr>
          <w:trHeight w:val="806"/>
        </w:trPr>
        <w:tc>
          <w:tcPr>
            <w:tcW w:w="1267" w:type="dxa"/>
          </w:tcPr>
          <w:p w14:paraId="3327939D" w14:textId="77777777" w:rsidR="00306557" w:rsidRPr="006C63AA" w:rsidRDefault="00306557">
            <w:pPr>
              <w:rPr>
                <w:b/>
                <w:bCs/>
                <w:i/>
                <w:iCs/>
                <w:sz w:val="24"/>
                <w:szCs w:val="24"/>
              </w:rPr>
            </w:pPr>
            <w:bookmarkStart w:id="0" w:name="_Hlk18235866"/>
            <w:bookmarkStart w:id="1" w:name="_Hlk18261845"/>
          </w:p>
        </w:tc>
        <w:tc>
          <w:tcPr>
            <w:tcW w:w="2545" w:type="dxa"/>
          </w:tcPr>
          <w:p w14:paraId="1056C34F" w14:textId="77777777" w:rsidR="00306557" w:rsidRPr="006C63AA" w:rsidRDefault="00306557" w:rsidP="008138EB">
            <w:pPr>
              <w:tabs>
                <w:tab w:val="left" w:pos="1860"/>
              </w:tabs>
              <w:rPr>
                <w:b/>
                <w:bCs/>
                <w:sz w:val="24"/>
                <w:szCs w:val="24"/>
              </w:rPr>
            </w:pPr>
            <w:r w:rsidRPr="006C63AA">
              <w:rPr>
                <w:b/>
                <w:bCs/>
                <w:sz w:val="24"/>
                <w:szCs w:val="24"/>
              </w:rPr>
              <w:t xml:space="preserve">Omgevingsvisie </w:t>
            </w:r>
            <w:r w:rsidRPr="006C63AA">
              <w:rPr>
                <w:b/>
                <w:bCs/>
                <w:sz w:val="24"/>
                <w:szCs w:val="24"/>
              </w:rPr>
              <w:tab/>
            </w:r>
          </w:p>
        </w:tc>
        <w:tc>
          <w:tcPr>
            <w:tcW w:w="2545" w:type="dxa"/>
          </w:tcPr>
          <w:p w14:paraId="6B8F55EF" w14:textId="77777777" w:rsidR="00306557" w:rsidRPr="006C63AA" w:rsidRDefault="00306557">
            <w:pPr>
              <w:rPr>
                <w:b/>
                <w:bCs/>
                <w:sz w:val="24"/>
                <w:szCs w:val="24"/>
              </w:rPr>
            </w:pPr>
            <w:r w:rsidRPr="006C63AA">
              <w:rPr>
                <w:b/>
                <w:bCs/>
                <w:sz w:val="24"/>
                <w:szCs w:val="24"/>
              </w:rPr>
              <w:t>Structuurvisie</w:t>
            </w:r>
          </w:p>
        </w:tc>
        <w:tc>
          <w:tcPr>
            <w:tcW w:w="2546" w:type="dxa"/>
          </w:tcPr>
          <w:p w14:paraId="088420AF" w14:textId="67E90F98" w:rsidR="00306557" w:rsidRPr="006C63AA" w:rsidRDefault="00306557">
            <w:pPr>
              <w:rPr>
                <w:b/>
                <w:bCs/>
                <w:sz w:val="24"/>
                <w:szCs w:val="24"/>
              </w:rPr>
            </w:pPr>
            <w:r w:rsidRPr="006C63AA">
              <w:rPr>
                <w:b/>
                <w:bCs/>
                <w:sz w:val="24"/>
                <w:szCs w:val="24"/>
              </w:rPr>
              <w:t xml:space="preserve">Provinciale verordening </w:t>
            </w:r>
          </w:p>
        </w:tc>
        <w:tc>
          <w:tcPr>
            <w:tcW w:w="2545" w:type="dxa"/>
          </w:tcPr>
          <w:p w14:paraId="74E0A06A" w14:textId="3B7EBF78" w:rsidR="00306557" w:rsidRPr="006C63AA" w:rsidRDefault="00306557">
            <w:pPr>
              <w:rPr>
                <w:b/>
                <w:bCs/>
                <w:sz w:val="24"/>
                <w:szCs w:val="24"/>
              </w:rPr>
            </w:pPr>
            <w:r w:rsidRPr="006C63AA">
              <w:rPr>
                <w:b/>
                <w:bCs/>
                <w:sz w:val="24"/>
                <w:szCs w:val="24"/>
              </w:rPr>
              <w:t xml:space="preserve">Bestemmingsplan </w:t>
            </w:r>
          </w:p>
        </w:tc>
        <w:tc>
          <w:tcPr>
            <w:tcW w:w="2546" w:type="dxa"/>
          </w:tcPr>
          <w:p w14:paraId="6877069B" w14:textId="77777777" w:rsidR="00306557" w:rsidRPr="006C63AA" w:rsidRDefault="00306557">
            <w:pPr>
              <w:rPr>
                <w:b/>
                <w:bCs/>
                <w:sz w:val="24"/>
                <w:szCs w:val="24"/>
              </w:rPr>
            </w:pPr>
            <w:r w:rsidRPr="006C63AA">
              <w:rPr>
                <w:b/>
                <w:bCs/>
                <w:sz w:val="24"/>
                <w:szCs w:val="24"/>
              </w:rPr>
              <w:t xml:space="preserve">Wijzingsplannen </w:t>
            </w:r>
          </w:p>
        </w:tc>
      </w:tr>
      <w:tr w:rsidR="00100DCD" w14:paraId="68773728" w14:textId="77777777" w:rsidTr="00787FF1">
        <w:trPr>
          <w:trHeight w:val="806"/>
        </w:trPr>
        <w:tc>
          <w:tcPr>
            <w:tcW w:w="1267" w:type="dxa"/>
          </w:tcPr>
          <w:p w14:paraId="32606DF5" w14:textId="77777777" w:rsidR="00306557" w:rsidRPr="008138EB" w:rsidRDefault="00306557">
            <w:pPr>
              <w:rPr>
                <w:b/>
                <w:bCs/>
                <w:i/>
                <w:iCs/>
              </w:rPr>
            </w:pPr>
            <w:bookmarkStart w:id="2" w:name="_Hlk18260588"/>
            <w:bookmarkEnd w:id="1"/>
            <w:r w:rsidRPr="008138EB">
              <w:rPr>
                <w:b/>
                <w:bCs/>
                <w:i/>
                <w:iCs/>
              </w:rPr>
              <w:t>Definitie:</w:t>
            </w:r>
          </w:p>
          <w:p w14:paraId="38672D97" w14:textId="77777777" w:rsidR="00306557" w:rsidRPr="008138EB" w:rsidRDefault="00306557">
            <w:pPr>
              <w:rPr>
                <w:b/>
                <w:bCs/>
                <w:i/>
                <w:iCs/>
              </w:rPr>
            </w:pPr>
          </w:p>
          <w:p w14:paraId="694CCEAC" w14:textId="77777777" w:rsidR="00306557" w:rsidRPr="008138EB" w:rsidRDefault="00306557">
            <w:pPr>
              <w:rPr>
                <w:b/>
                <w:bCs/>
                <w:i/>
                <w:iCs/>
              </w:rPr>
            </w:pPr>
          </w:p>
          <w:p w14:paraId="42A18E00" w14:textId="77777777" w:rsidR="00306557" w:rsidRPr="008138EB" w:rsidRDefault="00306557">
            <w:pPr>
              <w:rPr>
                <w:b/>
                <w:bCs/>
                <w:i/>
                <w:iCs/>
              </w:rPr>
            </w:pPr>
          </w:p>
          <w:p w14:paraId="4AD176F5" w14:textId="77777777" w:rsidR="00306557" w:rsidRPr="008138EB" w:rsidRDefault="00306557">
            <w:pPr>
              <w:rPr>
                <w:b/>
                <w:bCs/>
                <w:i/>
                <w:iCs/>
              </w:rPr>
            </w:pPr>
          </w:p>
        </w:tc>
        <w:tc>
          <w:tcPr>
            <w:tcW w:w="2545" w:type="dxa"/>
          </w:tcPr>
          <w:p w14:paraId="60CD707D" w14:textId="79FA79BB" w:rsidR="00306557" w:rsidRDefault="00306557">
            <w:r>
              <w:t xml:space="preserve">In deze visie vertalen Rijk, Provincie en gemeenten hun visie op de toekomst van de omgeving. Ze combineren daarin de structuurvisie met de eisen op het gebied van waterbeheer, verkeer &amp; vervoersplannen, economische structuur en natuurvisie.  </w:t>
            </w:r>
          </w:p>
        </w:tc>
        <w:tc>
          <w:tcPr>
            <w:tcW w:w="2545" w:type="dxa"/>
          </w:tcPr>
          <w:p w14:paraId="4461634C" w14:textId="6BFD95C2" w:rsidR="00306557" w:rsidRDefault="00306557">
            <w:r>
              <w:t xml:space="preserve">Zowel het Rijk, de Provincie als de gemeente maken dit plan om vast te leggen wat zij op hoofdlijnen nastreven bij de ruimtelijke ordening van hun plangebied. Ze zijn gericht op de toekomst en </w:t>
            </w:r>
            <w:r w:rsidR="009D4006">
              <w:t xml:space="preserve">zijn </w:t>
            </w:r>
            <w:r>
              <w:t xml:space="preserve">richtinggevend. </w:t>
            </w:r>
          </w:p>
        </w:tc>
        <w:tc>
          <w:tcPr>
            <w:tcW w:w="2546" w:type="dxa"/>
          </w:tcPr>
          <w:p w14:paraId="27E9F164" w14:textId="50B4F295" w:rsidR="00306557" w:rsidRDefault="00306557">
            <w:r>
              <w:t xml:space="preserve">Een wettelijke beschrijving van de van de regels waaraan gemeenten zich </w:t>
            </w:r>
            <w:r w:rsidR="00371042">
              <w:t>bij</w:t>
            </w:r>
            <w:r>
              <w:t xml:space="preserve"> het maken van ruimtelijke plannen moeten houden. </w:t>
            </w:r>
          </w:p>
          <w:p w14:paraId="711F4AD8" w14:textId="77777777" w:rsidR="00100DCD" w:rsidRDefault="00100DCD"/>
          <w:p w14:paraId="5BEEAFAF" w14:textId="0DDF56D4" w:rsidR="00100DCD" w:rsidRPr="00F702F4" w:rsidRDefault="00100DCD" w:rsidP="00100DCD"/>
        </w:tc>
        <w:tc>
          <w:tcPr>
            <w:tcW w:w="2545" w:type="dxa"/>
          </w:tcPr>
          <w:p w14:paraId="595C4607" w14:textId="64F3AE02" w:rsidR="00306557" w:rsidRDefault="00306557">
            <w:r w:rsidRPr="00F702F4">
              <w:t xml:space="preserve">In dit plan </w:t>
            </w:r>
            <w:r>
              <w:t xml:space="preserve">is de </w:t>
            </w:r>
            <w:r w:rsidRPr="00F702F4">
              <w:t>visie van de gemeente op ruimtelijk ordening van de stad concreet uitgewerkt en dit is bindend voor alle burgers</w:t>
            </w:r>
            <w:r w:rsidR="009D4006">
              <w:t xml:space="preserve">, bedrijven en de overheid zelf. </w:t>
            </w:r>
          </w:p>
          <w:p w14:paraId="01A98E12" w14:textId="77777777" w:rsidR="009D4006" w:rsidRDefault="009D4006"/>
          <w:p w14:paraId="672B260F" w14:textId="73675DD6" w:rsidR="009D4006" w:rsidRDefault="009D4006"/>
        </w:tc>
        <w:tc>
          <w:tcPr>
            <w:tcW w:w="2546" w:type="dxa"/>
          </w:tcPr>
          <w:p w14:paraId="7D600A47" w14:textId="413823E9" w:rsidR="00306557" w:rsidRDefault="008D6154">
            <w:r w:rsidRPr="008D6154">
              <w:t>In een bestemmingsplan is vaak een bevoegdheid opgenomen voor het wijzigen van het plan voor bepaalde typen projecten</w:t>
            </w:r>
            <w:r>
              <w:t xml:space="preserve"> of bij </w:t>
            </w:r>
            <w:r w:rsidRPr="008D6154">
              <w:t>nieuwe ontwikkelingen</w:t>
            </w:r>
            <w:r>
              <w:t>.</w:t>
            </w:r>
          </w:p>
        </w:tc>
      </w:tr>
      <w:bookmarkEnd w:id="0"/>
      <w:tr w:rsidR="00100DCD" w14:paraId="1E30B9EE" w14:textId="77777777" w:rsidTr="00787FF1">
        <w:trPr>
          <w:trHeight w:val="806"/>
        </w:trPr>
        <w:tc>
          <w:tcPr>
            <w:tcW w:w="1267" w:type="dxa"/>
          </w:tcPr>
          <w:p w14:paraId="408BF2FE" w14:textId="77777777" w:rsidR="00306557" w:rsidRPr="008138EB" w:rsidRDefault="00306557">
            <w:pPr>
              <w:rPr>
                <w:b/>
                <w:bCs/>
                <w:i/>
                <w:iCs/>
              </w:rPr>
            </w:pPr>
            <w:r w:rsidRPr="008138EB">
              <w:rPr>
                <w:b/>
                <w:bCs/>
                <w:i/>
                <w:iCs/>
              </w:rPr>
              <w:t>Processen:</w:t>
            </w:r>
          </w:p>
          <w:p w14:paraId="53F5BE9B" w14:textId="77777777" w:rsidR="00306557" w:rsidRPr="008138EB" w:rsidRDefault="00306557">
            <w:pPr>
              <w:rPr>
                <w:b/>
                <w:bCs/>
                <w:i/>
                <w:iCs/>
              </w:rPr>
            </w:pPr>
          </w:p>
          <w:p w14:paraId="159E3354" w14:textId="77777777" w:rsidR="00306557" w:rsidRPr="008138EB" w:rsidRDefault="00306557">
            <w:pPr>
              <w:rPr>
                <w:b/>
                <w:bCs/>
                <w:i/>
                <w:iCs/>
              </w:rPr>
            </w:pPr>
          </w:p>
          <w:p w14:paraId="7123CA05" w14:textId="77777777" w:rsidR="00306557" w:rsidRPr="008138EB" w:rsidRDefault="00306557">
            <w:pPr>
              <w:rPr>
                <w:b/>
                <w:bCs/>
                <w:i/>
                <w:iCs/>
              </w:rPr>
            </w:pPr>
          </w:p>
          <w:p w14:paraId="050A1DFA" w14:textId="77777777" w:rsidR="00306557" w:rsidRPr="008138EB" w:rsidRDefault="00306557">
            <w:pPr>
              <w:rPr>
                <w:b/>
                <w:bCs/>
                <w:i/>
                <w:iCs/>
              </w:rPr>
            </w:pPr>
          </w:p>
        </w:tc>
        <w:tc>
          <w:tcPr>
            <w:tcW w:w="2545" w:type="dxa"/>
          </w:tcPr>
          <w:p w14:paraId="153038A1" w14:textId="792EE2EF" w:rsidR="00EE3CAB" w:rsidRDefault="00EE3CAB" w:rsidP="00EE3CAB">
            <w:r w:rsidRPr="00366D25">
              <w:rPr>
                <w:b/>
                <w:bCs/>
              </w:rPr>
              <w:t>Afstemming</w:t>
            </w:r>
            <w:r>
              <w:t xml:space="preserve">. </w:t>
            </w:r>
          </w:p>
          <w:p w14:paraId="75F927B1" w14:textId="416A0305" w:rsidR="00EE3CAB" w:rsidRDefault="00EE3CAB" w:rsidP="00EE3CAB">
            <w:r>
              <w:t>Dit betekent dat de gemeente bij het opstellen van de omgevingsvisie rekening moet houden met het beleid van andere bestuursorganen.</w:t>
            </w:r>
          </w:p>
          <w:p w14:paraId="7E88D91C" w14:textId="14F2E608" w:rsidR="00EE3CAB" w:rsidRPr="00366D25" w:rsidRDefault="00EE3CAB" w:rsidP="00EE3CAB">
            <w:pPr>
              <w:rPr>
                <w:b/>
                <w:bCs/>
              </w:rPr>
            </w:pPr>
            <w:r w:rsidRPr="00366D25">
              <w:rPr>
                <w:b/>
                <w:bCs/>
              </w:rPr>
              <w:t>Participatie</w:t>
            </w:r>
          </w:p>
          <w:p w14:paraId="62FE13CF" w14:textId="1B02A3FF" w:rsidR="00EE3CAB" w:rsidRDefault="00EE3CAB" w:rsidP="00EE3CAB">
            <w:r>
              <w:t xml:space="preserve">Een open houding ten opzichte van maatschappelijke initiatieven heeft voordelen. </w:t>
            </w:r>
          </w:p>
          <w:p w14:paraId="7D05C0F7" w14:textId="5B9682EA" w:rsidR="00EE3CAB" w:rsidRPr="00366D25" w:rsidRDefault="00EE3CAB" w:rsidP="00EE3CAB">
            <w:pPr>
              <w:rPr>
                <w:b/>
                <w:bCs/>
              </w:rPr>
            </w:pPr>
            <w:r w:rsidRPr="00366D25">
              <w:rPr>
                <w:b/>
                <w:bCs/>
              </w:rPr>
              <w:t>Voorbereidingsproce</w:t>
            </w:r>
            <w:r w:rsidR="00366D25">
              <w:rPr>
                <w:b/>
                <w:bCs/>
              </w:rPr>
              <w:t>-</w:t>
            </w:r>
            <w:r w:rsidRPr="00366D25">
              <w:rPr>
                <w:b/>
                <w:bCs/>
              </w:rPr>
              <w:t>dure</w:t>
            </w:r>
          </w:p>
          <w:p w14:paraId="6C266296" w14:textId="0587F537" w:rsidR="00EE3CAB" w:rsidRDefault="00EE3CAB" w:rsidP="00EE3CAB">
            <w:r>
              <w:lastRenderedPageBreak/>
              <w:t>Eenieder kan zienswijzen naar voren brengen tegen het ontwerp van de omgevingsvisie</w:t>
            </w:r>
            <w:r w:rsidR="006C63AA">
              <w:t xml:space="preserve">. </w:t>
            </w:r>
            <w:r>
              <w:t>Van het ontwerp wordt mededeling gedaan in het gemeenteblad.</w:t>
            </w:r>
          </w:p>
          <w:p w14:paraId="179899F3" w14:textId="77777777" w:rsidR="00EE3CAB" w:rsidRDefault="00EE3CAB" w:rsidP="00EE3CAB">
            <w:r>
              <w:t>Tegen een omgevingsvisie staat geen beroep open. Een omgevingsvisie bindt alleen de gemeente zelf en heeft geen juridische gevolgen.</w:t>
            </w:r>
          </w:p>
          <w:p w14:paraId="21391811" w14:textId="7358FAB1" w:rsidR="00EE3CAB" w:rsidRPr="00366D25" w:rsidRDefault="00EE3CAB" w:rsidP="00EE3CAB">
            <w:pPr>
              <w:rPr>
                <w:b/>
                <w:bCs/>
              </w:rPr>
            </w:pPr>
            <w:r w:rsidRPr="00366D25">
              <w:rPr>
                <w:b/>
                <w:bCs/>
              </w:rPr>
              <w:t>Milieueffectrapportage</w:t>
            </w:r>
          </w:p>
          <w:p w14:paraId="37F66BE7" w14:textId="44920497" w:rsidR="00736569" w:rsidRDefault="00736569" w:rsidP="00EE3CAB">
            <w:r>
              <w:t xml:space="preserve">Soms is er zo’n rapportage / check nodig. </w:t>
            </w:r>
          </w:p>
          <w:p w14:paraId="3B7E546D" w14:textId="77777777" w:rsidR="00EE3CAB" w:rsidRPr="00366D25" w:rsidRDefault="00EE3CAB" w:rsidP="00EE3CAB">
            <w:pPr>
              <w:rPr>
                <w:b/>
                <w:bCs/>
              </w:rPr>
            </w:pPr>
            <w:r w:rsidRPr="00366D25">
              <w:rPr>
                <w:b/>
                <w:bCs/>
              </w:rPr>
              <w:t>Digitaal beschikbaar</w:t>
            </w:r>
          </w:p>
          <w:p w14:paraId="702CB28B" w14:textId="6619CB3D" w:rsidR="00306557" w:rsidRDefault="00EE3CAB" w:rsidP="00EE3CAB">
            <w:r>
              <w:t xml:space="preserve">Gemeenten moeten de omgevingsvisie digitaal beschikbaar stellen via het Digitaal Stelsel Omgevingswet. </w:t>
            </w:r>
          </w:p>
        </w:tc>
        <w:tc>
          <w:tcPr>
            <w:tcW w:w="2545" w:type="dxa"/>
          </w:tcPr>
          <w:p w14:paraId="7DCA7D92" w14:textId="2132EE5F" w:rsidR="00306557" w:rsidRDefault="003D2018">
            <w:r w:rsidRPr="003D2018">
              <w:lastRenderedPageBreak/>
              <w:t xml:space="preserve">In een structuurvisie moet worden aangegeven op welke wijze burgers en maatschappelijke organisaties zijn betrokken bij de voorbereiding van de structuurvisie. </w:t>
            </w:r>
            <w:r>
              <w:t>Er zijn geen e</w:t>
            </w:r>
            <w:r w:rsidRPr="003D2018">
              <w:t>isen opgenomen over de procedure van een structuurvisie</w:t>
            </w:r>
            <w:r>
              <w:t xml:space="preserve">, </w:t>
            </w:r>
            <w:r w:rsidRPr="003D2018">
              <w:t xml:space="preserve">gemeenten </w:t>
            </w:r>
            <w:r>
              <w:t xml:space="preserve">kunnen zelf </w:t>
            </w:r>
            <w:r w:rsidRPr="003D2018">
              <w:t>vastleggen hoe zij hiermee om willen gaan.</w:t>
            </w:r>
          </w:p>
        </w:tc>
        <w:tc>
          <w:tcPr>
            <w:tcW w:w="2546" w:type="dxa"/>
          </w:tcPr>
          <w:p w14:paraId="3F305A59" w14:textId="2C83F15A" w:rsidR="00306557" w:rsidRDefault="00100DCD">
            <w:r>
              <w:t>R</w:t>
            </w:r>
            <w:r w:rsidRPr="00100DCD">
              <w:t>ijk of Provincie maken het voornemen voor het opstellen van een Provinciale verordening bekend en het voorstel staat open voor opmerkingen gedurende 4 weken. Geen van beide staan open voor beroep.</w:t>
            </w:r>
          </w:p>
        </w:tc>
        <w:tc>
          <w:tcPr>
            <w:tcW w:w="2545" w:type="dxa"/>
          </w:tcPr>
          <w:p w14:paraId="5FA7B2FD" w14:textId="6B06B8BB" w:rsidR="009D4006" w:rsidRDefault="009D4006" w:rsidP="009D4006">
            <w:r>
              <w:t>De verschillende fasen in de procedure:</w:t>
            </w:r>
          </w:p>
          <w:p w14:paraId="3F8A776A" w14:textId="218CAF0D" w:rsidR="009D4006" w:rsidRPr="00366D25" w:rsidRDefault="009D4006" w:rsidP="009D4006">
            <w:pPr>
              <w:rPr>
                <w:b/>
                <w:bCs/>
              </w:rPr>
            </w:pPr>
            <w:r w:rsidRPr="00366D25">
              <w:rPr>
                <w:b/>
                <w:bCs/>
              </w:rPr>
              <w:t>Voorbereiding</w:t>
            </w:r>
          </w:p>
          <w:p w14:paraId="2D2446B0" w14:textId="1607BA0C" w:rsidR="009D4006" w:rsidRDefault="009D4006" w:rsidP="009D4006">
            <w:r w:rsidRPr="009D4006">
              <w:t>Het college van burgemeester en wethouders bereidt het bestemmingsplan voor.</w:t>
            </w:r>
          </w:p>
          <w:p w14:paraId="3E13FFBD" w14:textId="5C43B533" w:rsidR="009D4006" w:rsidRPr="00366D25" w:rsidRDefault="009D4006" w:rsidP="009D4006">
            <w:pPr>
              <w:rPr>
                <w:b/>
                <w:bCs/>
              </w:rPr>
            </w:pPr>
            <w:r w:rsidRPr="00366D25">
              <w:rPr>
                <w:b/>
                <w:bCs/>
              </w:rPr>
              <w:t>Ontwerp</w:t>
            </w:r>
          </w:p>
          <w:p w14:paraId="2046D486" w14:textId="50E6956D" w:rsidR="009D4006" w:rsidRDefault="009D4006" w:rsidP="009D4006">
            <w:r w:rsidRPr="009D4006">
              <w:t>B</w:t>
            </w:r>
            <w:r w:rsidR="00366D25">
              <w:t xml:space="preserve">&amp;W </w:t>
            </w:r>
            <w:r w:rsidRPr="009D4006">
              <w:t>overleggen met relevante bestuursorganen</w:t>
            </w:r>
            <w:r>
              <w:t>,</w:t>
            </w:r>
            <w:r w:rsidRPr="009D4006">
              <w:t xml:space="preserve"> wegen relevante feiten en belangen tegen elkaar af en stellen bestemmingen, regels en toelichting op</w:t>
            </w:r>
            <w:r>
              <w:t xml:space="preserve">. </w:t>
            </w:r>
            <w:r w:rsidRPr="009D4006">
              <w:t>B</w:t>
            </w:r>
            <w:r>
              <w:t xml:space="preserve">&amp;W </w:t>
            </w:r>
            <w:r w:rsidRPr="009D4006">
              <w:t xml:space="preserve">publiceren de kennisgeving ook in de </w:t>
            </w:r>
            <w:r w:rsidRPr="009D4006">
              <w:lastRenderedPageBreak/>
              <w:t>Staatscourant en elektronisch. Belangrijke partijen worden ingelicht.</w:t>
            </w:r>
            <w:r>
              <w:t xml:space="preserve"> </w:t>
            </w:r>
            <w:r w:rsidRPr="009D4006">
              <w:t>Iedereen kan zienswijzen tegen het ontwerpbesluit indienen.</w:t>
            </w:r>
            <w:r>
              <w:t xml:space="preserve"> </w:t>
            </w:r>
            <w:r>
              <w:br/>
            </w:r>
            <w:r w:rsidRPr="00366D25">
              <w:rPr>
                <w:b/>
                <w:bCs/>
              </w:rPr>
              <w:t xml:space="preserve">Vaststelling </w:t>
            </w:r>
          </w:p>
          <w:p w14:paraId="270C59BF" w14:textId="4E066E18" w:rsidR="009D4006" w:rsidRDefault="009D4006" w:rsidP="009D4006">
            <w:r w:rsidRPr="009D4006">
              <w:t>De gemeenteraad beslist binnen twaalf weken na de termijn van terinzagelegging van het ontwerpbesluit over de vaststelling van het bestemmingsplan.</w:t>
            </w:r>
            <w:r>
              <w:t xml:space="preserve"> </w:t>
            </w:r>
            <w:r w:rsidRPr="009D4006">
              <w:t>B</w:t>
            </w:r>
            <w:r>
              <w:t xml:space="preserve">&amp;W </w:t>
            </w:r>
            <w:r w:rsidRPr="009D4006">
              <w:t>publiceren de kennisgeving van het vaststellingsbesluit ook in de Staatscourant en elektronisch.</w:t>
            </w:r>
          </w:p>
          <w:p w14:paraId="634D1412" w14:textId="77777777" w:rsidR="00306557" w:rsidRPr="00366D25" w:rsidRDefault="009D4006" w:rsidP="009D4006">
            <w:pPr>
              <w:rPr>
                <w:b/>
                <w:bCs/>
              </w:rPr>
            </w:pPr>
            <w:r w:rsidRPr="00366D25">
              <w:rPr>
                <w:b/>
                <w:bCs/>
              </w:rPr>
              <w:t>Beroep bij de Raad van State</w:t>
            </w:r>
          </w:p>
          <w:p w14:paraId="5C404CA3" w14:textId="4BD6F54E" w:rsidR="009D4006" w:rsidRDefault="009D4006" w:rsidP="009D4006">
            <w:r w:rsidRPr="009D4006">
              <w:t>Op het beroep moet de rechter binnen</w:t>
            </w:r>
            <w:r w:rsidR="006C63AA">
              <w:t xml:space="preserve"> 12 </w:t>
            </w:r>
            <w:r w:rsidRPr="009D4006">
              <w:t>maanden beslissen.</w:t>
            </w:r>
          </w:p>
        </w:tc>
        <w:tc>
          <w:tcPr>
            <w:tcW w:w="2546" w:type="dxa"/>
          </w:tcPr>
          <w:p w14:paraId="5FBB154C" w14:textId="77777777" w:rsidR="008D6154" w:rsidRDefault="008D6154" w:rsidP="008D6154">
            <w:r>
              <w:lastRenderedPageBreak/>
              <w:t>Een wijzigingsprocedure bestaat - in de meest uitgebreide vorm - uit de volgende stappen:</w:t>
            </w:r>
          </w:p>
          <w:p w14:paraId="272CE006" w14:textId="3F946276" w:rsidR="008D6154" w:rsidRDefault="008D6154" w:rsidP="008D6154">
            <w:r>
              <w:t>1. principeverzoek</w:t>
            </w:r>
          </w:p>
          <w:p w14:paraId="7F9B10BB" w14:textId="1B07A901" w:rsidR="008D6154" w:rsidRDefault="008D6154" w:rsidP="008D6154">
            <w:r>
              <w:t>2.</w:t>
            </w:r>
            <w:r w:rsidR="00366D25">
              <w:t xml:space="preserve"> </w:t>
            </w:r>
            <w:r>
              <w:t>ontwerpwijzigingsplan</w:t>
            </w:r>
          </w:p>
          <w:p w14:paraId="7ADDCBDE" w14:textId="3942AD0E" w:rsidR="008D6154" w:rsidRDefault="008D6154" w:rsidP="008D6154">
            <w:r>
              <w:t>3. zienswijzen</w:t>
            </w:r>
          </w:p>
          <w:p w14:paraId="29E30042" w14:textId="335CC68A" w:rsidR="008D6154" w:rsidRDefault="008D6154" w:rsidP="008D6154">
            <w:r>
              <w:t>4. vastgesteld wijzigingsplan</w:t>
            </w:r>
          </w:p>
          <w:p w14:paraId="048D9A27" w14:textId="1F82CD9A" w:rsidR="008D6154" w:rsidRDefault="008D6154" w:rsidP="008D6154">
            <w:r>
              <w:t>5. beroep en voorlopige voorziening</w:t>
            </w:r>
          </w:p>
          <w:p w14:paraId="29C8FA22" w14:textId="2B8FB430" w:rsidR="00306557" w:rsidRDefault="008D6154" w:rsidP="008D6154">
            <w:r>
              <w:t>6. onherroepelijk wijzigingsplan</w:t>
            </w:r>
            <w:r w:rsidR="00366D25">
              <w:t>.</w:t>
            </w:r>
          </w:p>
        </w:tc>
      </w:tr>
      <w:bookmarkEnd w:id="2"/>
      <w:tr w:rsidR="00100DCD" w14:paraId="617287E7" w14:textId="77777777" w:rsidTr="00787FF1">
        <w:trPr>
          <w:trHeight w:val="806"/>
        </w:trPr>
        <w:tc>
          <w:tcPr>
            <w:tcW w:w="1267" w:type="dxa"/>
          </w:tcPr>
          <w:p w14:paraId="2C52FCF8" w14:textId="247CC862" w:rsidR="00306557" w:rsidRPr="008138EB" w:rsidRDefault="00306557">
            <w:pPr>
              <w:rPr>
                <w:b/>
                <w:bCs/>
                <w:i/>
                <w:iCs/>
              </w:rPr>
            </w:pPr>
            <w:r w:rsidRPr="008138EB">
              <w:rPr>
                <w:b/>
                <w:bCs/>
                <w:i/>
                <w:iCs/>
              </w:rPr>
              <w:t>Voorbeel</w:t>
            </w:r>
            <w:r w:rsidR="00D445AE">
              <w:rPr>
                <w:b/>
                <w:bCs/>
                <w:i/>
                <w:iCs/>
              </w:rPr>
              <w:t>-</w:t>
            </w:r>
            <w:r w:rsidRPr="008138EB">
              <w:rPr>
                <w:b/>
                <w:bCs/>
                <w:i/>
                <w:iCs/>
              </w:rPr>
              <w:t>den:</w:t>
            </w:r>
          </w:p>
          <w:p w14:paraId="06BF7E2E" w14:textId="77777777" w:rsidR="00306557" w:rsidRPr="008138EB" w:rsidRDefault="00306557">
            <w:pPr>
              <w:rPr>
                <w:b/>
                <w:bCs/>
                <w:i/>
                <w:iCs/>
              </w:rPr>
            </w:pPr>
          </w:p>
          <w:p w14:paraId="7B585425" w14:textId="77777777" w:rsidR="00306557" w:rsidRPr="008138EB" w:rsidRDefault="00306557">
            <w:pPr>
              <w:rPr>
                <w:b/>
                <w:bCs/>
                <w:i/>
                <w:iCs/>
              </w:rPr>
            </w:pPr>
          </w:p>
          <w:p w14:paraId="06A0FA71" w14:textId="77777777" w:rsidR="00306557" w:rsidRPr="008138EB" w:rsidRDefault="00306557">
            <w:pPr>
              <w:rPr>
                <w:b/>
                <w:bCs/>
                <w:i/>
                <w:iCs/>
              </w:rPr>
            </w:pPr>
          </w:p>
          <w:p w14:paraId="68B48336" w14:textId="77777777" w:rsidR="00306557" w:rsidRPr="008138EB" w:rsidRDefault="00306557">
            <w:pPr>
              <w:rPr>
                <w:b/>
                <w:bCs/>
                <w:i/>
                <w:iCs/>
              </w:rPr>
            </w:pPr>
          </w:p>
          <w:p w14:paraId="701A975D" w14:textId="77777777" w:rsidR="00306557" w:rsidRPr="008138EB" w:rsidRDefault="00306557">
            <w:pPr>
              <w:rPr>
                <w:b/>
                <w:bCs/>
                <w:i/>
                <w:iCs/>
              </w:rPr>
            </w:pPr>
          </w:p>
        </w:tc>
        <w:tc>
          <w:tcPr>
            <w:tcW w:w="2545" w:type="dxa"/>
          </w:tcPr>
          <w:p w14:paraId="472DC871" w14:textId="4BCB407D" w:rsidR="00306557" w:rsidRDefault="00787FF1">
            <w:r w:rsidRPr="00787FF1">
              <w:t>https://www.omgevingsweb.nl/cms/files/2016-12/d-nl.imro.0855.stv2015001-d001.pdf</w:t>
            </w:r>
          </w:p>
        </w:tc>
        <w:tc>
          <w:tcPr>
            <w:tcW w:w="2545" w:type="dxa"/>
          </w:tcPr>
          <w:p w14:paraId="426F620E" w14:textId="3B854F65" w:rsidR="00306557" w:rsidRDefault="002C7A19">
            <w:hyperlink r:id="rId4" w:history="1">
              <w:r w:rsidR="00787FF1" w:rsidRPr="00541B20">
                <w:rPr>
                  <w:rStyle w:val="Hyperlink"/>
                </w:rPr>
                <w:t>https://www.brabant.nl/dossiers/dossiers-op-thema/ruimtelijke-ordening/ruimtelijk-beleid/structuurvisie</w:t>
              </w:r>
            </w:hyperlink>
            <w:r w:rsidR="00787FF1">
              <w:t xml:space="preserve"> </w:t>
            </w:r>
          </w:p>
        </w:tc>
        <w:tc>
          <w:tcPr>
            <w:tcW w:w="2546" w:type="dxa"/>
          </w:tcPr>
          <w:p w14:paraId="2176E6AF" w14:textId="77777777" w:rsidR="00306557" w:rsidRDefault="00306557">
            <w:r>
              <w:t xml:space="preserve">Afspraken over windmolens. </w:t>
            </w:r>
          </w:p>
          <w:p w14:paraId="05DCCB89" w14:textId="77777777" w:rsidR="00306557" w:rsidRDefault="00306557">
            <w:r>
              <w:t xml:space="preserve">Natuurbeheer. </w:t>
            </w:r>
          </w:p>
          <w:p w14:paraId="2CBEF9E3" w14:textId="77777777" w:rsidR="00306557" w:rsidRDefault="00306557">
            <w:r>
              <w:t xml:space="preserve">Agrarische bedrijven. </w:t>
            </w:r>
          </w:p>
          <w:p w14:paraId="43F6FCBA" w14:textId="2E71C1A3" w:rsidR="00366D25" w:rsidRDefault="002C7A19">
            <w:hyperlink r:id="rId5" w:history="1">
              <w:r w:rsidR="00366D25" w:rsidRPr="00541B20">
                <w:rPr>
                  <w:rStyle w:val="Hyperlink"/>
                </w:rPr>
                <w:t>https://decentrale.regelgeving.overheid.nl/cvdr/xhtmloutput/Historie/Zeeland/CVDR230513/CVDR230513_2.html</w:t>
              </w:r>
            </w:hyperlink>
            <w:r w:rsidR="00366D25">
              <w:t xml:space="preserve"> </w:t>
            </w:r>
          </w:p>
        </w:tc>
        <w:tc>
          <w:tcPr>
            <w:tcW w:w="2545" w:type="dxa"/>
          </w:tcPr>
          <w:p w14:paraId="4611861B" w14:textId="5D362667" w:rsidR="00306557" w:rsidRDefault="002C7A19">
            <w:hyperlink r:id="rId6" w:history="1">
              <w:r w:rsidR="00366D25" w:rsidRPr="00541B20">
                <w:rPr>
                  <w:rStyle w:val="Hyperlink"/>
                </w:rPr>
                <w:t>https://www.ruimtelijkeplannen.nl/documents/NL.IMRO.085500002001017-/v_NL.IMRO.085500002001017-.pdf</w:t>
              </w:r>
            </w:hyperlink>
            <w:r w:rsidR="00366D25">
              <w:t xml:space="preserve"> </w:t>
            </w:r>
          </w:p>
        </w:tc>
        <w:tc>
          <w:tcPr>
            <w:tcW w:w="2546" w:type="dxa"/>
          </w:tcPr>
          <w:p w14:paraId="6167176F" w14:textId="6B447589" w:rsidR="008D6154" w:rsidRDefault="008D6154" w:rsidP="008D6154">
            <w:r>
              <w:t xml:space="preserve">Wijzigingsplan Gildehauserweg 18, Losser. </w:t>
            </w:r>
          </w:p>
          <w:p w14:paraId="29529D8A" w14:textId="4AFAD810" w:rsidR="00306557" w:rsidRDefault="008D6154" w:rsidP="008D6154">
            <w:r>
              <w:t xml:space="preserve">Op dit perceel is een deel van de opstallen gesloopt en ingezet voor de regeling "Rood voor rood met gesloten beurs". Op basis hiervan is een </w:t>
            </w:r>
            <w:r>
              <w:lastRenderedPageBreak/>
              <w:t>compensatiekavel verkregen, waardoor ter plaatse een nieuwe woning met bijgebouw gerealiseerd kan worden.</w:t>
            </w:r>
          </w:p>
        </w:tc>
      </w:tr>
      <w:tr w:rsidR="00100DCD" w14:paraId="0EF16258" w14:textId="77777777" w:rsidTr="00787FF1">
        <w:trPr>
          <w:trHeight w:val="806"/>
        </w:trPr>
        <w:tc>
          <w:tcPr>
            <w:tcW w:w="1267" w:type="dxa"/>
          </w:tcPr>
          <w:p w14:paraId="01D4A1C8" w14:textId="1EBF76A9" w:rsidR="00306557" w:rsidRPr="008138EB" w:rsidRDefault="00306557">
            <w:pPr>
              <w:rPr>
                <w:b/>
                <w:bCs/>
                <w:i/>
                <w:iCs/>
              </w:rPr>
            </w:pPr>
            <w:r w:rsidRPr="008138EB">
              <w:rPr>
                <w:b/>
                <w:bCs/>
                <w:i/>
                <w:iCs/>
              </w:rPr>
              <w:lastRenderedPageBreak/>
              <w:t>Aanvullen</w:t>
            </w:r>
            <w:r w:rsidR="004E593E">
              <w:rPr>
                <w:b/>
                <w:bCs/>
                <w:i/>
                <w:iCs/>
              </w:rPr>
              <w:t>-</w:t>
            </w:r>
            <w:r w:rsidRPr="008138EB">
              <w:rPr>
                <w:b/>
                <w:bCs/>
                <w:i/>
                <w:iCs/>
              </w:rPr>
              <w:t xml:space="preserve">de info: </w:t>
            </w:r>
          </w:p>
          <w:p w14:paraId="554F289B" w14:textId="77777777" w:rsidR="00306557" w:rsidRPr="008138EB" w:rsidRDefault="00306557">
            <w:pPr>
              <w:rPr>
                <w:b/>
                <w:bCs/>
                <w:i/>
                <w:iCs/>
              </w:rPr>
            </w:pPr>
          </w:p>
          <w:p w14:paraId="58D5AFEE" w14:textId="77777777" w:rsidR="00306557" w:rsidRPr="008138EB" w:rsidRDefault="00306557">
            <w:pPr>
              <w:rPr>
                <w:b/>
                <w:bCs/>
                <w:i/>
                <w:iCs/>
              </w:rPr>
            </w:pPr>
          </w:p>
          <w:p w14:paraId="18CB2457" w14:textId="77777777" w:rsidR="00306557" w:rsidRPr="008138EB" w:rsidRDefault="00306557">
            <w:pPr>
              <w:rPr>
                <w:b/>
                <w:bCs/>
                <w:i/>
                <w:iCs/>
              </w:rPr>
            </w:pPr>
          </w:p>
          <w:p w14:paraId="443DE024" w14:textId="77777777" w:rsidR="00306557" w:rsidRPr="008138EB" w:rsidRDefault="00306557">
            <w:pPr>
              <w:rPr>
                <w:b/>
                <w:bCs/>
                <w:i/>
                <w:iCs/>
              </w:rPr>
            </w:pPr>
          </w:p>
          <w:p w14:paraId="14CCAA4F" w14:textId="77777777" w:rsidR="00306557" w:rsidRPr="008138EB" w:rsidRDefault="00306557">
            <w:pPr>
              <w:rPr>
                <w:b/>
                <w:bCs/>
                <w:i/>
                <w:iCs/>
              </w:rPr>
            </w:pPr>
          </w:p>
        </w:tc>
        <w:tc>
          <w:tcPr>
            <w:tcW w:w="2545" w:type="dxa"/>
          </w:tcPr>
          <w:p w14:paraId="0AAE5B64" w14:textId="77777777" w:rsidR="00306557" w:rsidRDefault="00306557"/>
        </w:tc>
        <w:tc>
          <w:tcPr>
            <w:tcW w:w="2545" w:type="dxa"/>
          </w:tcPr>
          <w:p w14:paraId="5DF4B1C4" w14:textId="5E347D80" w:rsidR="00306557" w:rsidRDefault="00306557" w:rsidP="003D2018"/>
        </w:tc>
        <w:tc>
          <w:tcPr>
            <w:tcW w:w="2546" w:type="dxa"/>
          </w:tcPr>
          <w:p w14:paraId="3D8F1C3B" w14:textId="77777777" w:rsidR="00306557" w:rsidRDefault="00306557"/>
        </w:tc>
        <w:tc>
          <w:tcPr>
            <w:tcW w:w="2545" w:type="dxa"/>
          </w:tcPr>
          <w:p w14:paraId="0F548D04" w14:textId="754A46E8" w:rsidR="00306557" w:rsidRDefault="00306557"/>
        </w:tc>
        <w:tc>
          <w:tcPr>
            <w:tcW w:w="2546" w:type="dxa"/>
          </w:tcPr>
          <w:p w14:paraId="39B279A4" w14:textId="77777777" w:rsidR="00306557" w:rsidRDefault="00306557"/>
        </w:tc>
      </w:tr>
    </w:tbl>
    <w:p w14:paraId="5D5694AC" w14:textId="6D95D6DD" w:rsidR="00C56F77" w:rsidRDefault="00C56F77"/>
    <w:p w14:paraId="2860C962" w14:textId="3237FF19" w:rsidR="001463EC" w:rsidRPr="004E593E" w:rsidRDefault="001463EC">
      <w:pPr>
        <w:rPr>
          <w:b/>
          <w:bCs/>
          <w:sz w:val="28"/>
          <w:szCs w:val="28"/>
        </w:rPr>
      </w:pPr>
      <w:r w:rsidRPr="004E593E">
        <w:rPr>
          <w:b/>
          <w:bCs/>
          <w:sz w:val="28"/>
          <w:szCs w:val="28"/>
        </w:rPr>
        <w:t>Belangrijke definities:</w:t>
      </w:r>
    </w:p>
    <w:p w14:paraId="67509FB9" w14:textId="147317E1" w:rsidR="00306557" w:rsidRPr="001463EC" w:rsidRDefault="00306557">
      <w:pPr>
        <w:rPr>
          <w:b/>
          <w:bCs/>
        </w:rPr>
      </w:pPr>
      <w:r w:rsidRPr="001463EC">
        <w:rPr>
          <w:b/>
          <w:bCs/>
        </w:rPr>
        <w:t>Ruimtelijke ordening</w:t>
      </w:r>
      <w:r w:rsidR="00DA057E">
        <w:rPr>
          <w:b/>
          <w:bCs/>
        </w:rPr>
        <w:t xml:space="preserve"> = </w:t>
      </w:r>
    </w:p>
    <w:p w14:paraId="1DE0B21B" w14:textId="4C6A2F83" w:rsidR="001463EC" w:rsidRDefault="00D344AF">
      <w:r>
        <w:t>Zorgen voor een zo goed mogelijke leefomgeving; wonen, werken, reizen en recreëre</w:t>
      </w:r>
      <w:r w:rsidR="001463EC">
        <w:t xml:space="preserve">n. </w:t>
      </w:r>
      <w:r w:rsidRPr="00D344AF">
        <w:t>Dat kan een streek zijn, dat kan ook een hele stad zijn.</w:t>
      </w:r>
      <w:r w:rsidR="001463EC">
        <w:t xml:space="preserve"> Het gaat erom al deze verschillende activiteiten op zo’n manier in de ruimte te plaatsen dat er zoveel mogelijke ruimtelijke kwaliteit ontstaat. Hierbij zijn planologen maar ook architecten, bouwkundigen en stedenbouwkundigen betrokken. </w:t>
      </w:r>
    </w:p>
    <w:p w14:paraId="29672FF7" w14:textId="77777777" w:rsidR="004E593E" w:rsidRPr="004E593E" w:rsidRDefault="004E593E" w:rsidP="004E593E">
      <w:pPr>
        <w:rPr>
          <w:b/>
          <w:bCs/>
        </w:rPr>
      </w:pPr>
      <w:r w:rsidRPr="004E593E">
        <w:rPr>
          <w:b/>
          <w:bCs/>
        </w:rPr>
        <w:t>Leefomgeving =</w:t>
      </w:r>
    </w:p>
    <w:p w14:paraId="205254E8" w14:textId="76A7EBFF" w:rsidR="004E593E" w:rsidRPr="004E593E" w:rsidRDefault="004E593E" w:rsidP="004E593E">
      <w:r w:rsidRPr="004E593E">
        <w:t xml:space="preserve">Omgeving waarin we wonen, werken en recreëren.  </w:t>
      </w:r>
    </w:p>
    <w:p w14:paraId="65F2B4E4" w14:textId="119014B6" w:rsidR="001463EC" w:rsidRPr="001463EC" w:rsidRDefault="001463EC">
      <w:pPr>
        <w:rPr>
          <w:b/>
          <w:bCs/>
        </w:rPr>
      </w:pPr>
      <w:r w:rsidRPr="001463EC">
        <w:rPr>
          <w:b/>
          <w:bCs/>
        </w:rPr>
        <w:t xml:space="preserve">Planologie = </w:t>
      </w:r>
    </w:p>
    <w:p w14:paraId="406E3EE8" w14:textId="77777777" w:rsidR="001463EC" w:rsidRDefault="001463EC">
      <w:r>
        <w:t xml:space="preserve">De wetenschap die daarvoor de kennis aanreikt. </w:t>
      </w:r>
    </w:p>
    <w:p w14:paraId="5B9372DC" w14:textId="0F513077" w:rsidR="001463EC" w:rsidRDefault="00DA057E">
      <w:r>
        <w:rPr>
          <w:b/>
          <w:bCs/>
        </w:rPr>
        <w:t>F</w:t>
      </w:r>
      <w:r w:rsidR="001463EC" w:rsidRPr="001463EC">
        <w:rPr>
          <w:b/>
          <w:bCs/>
        </w:rPr>
        <w:t>ysieke leefomgeving</w:t>
      </w:r>
      <w:r w:rsidR="001463EC" w:rsidRPr="001463EC">
        <w:t xml:space="preserve"> </w:t>
      </w:r>
      <w:r w:rsidR="001463EC">
        <w:t xml:space="preserve">= </w:t>
      </w:r>
    </w:p>
    <w:p w14:paraId="5D9267FE" w14:textId="636BA8CD" w:rsidR="00C56F77" w:rsidRDefault="001463EC">
      <w:r>
        <w:t xml:space="preserve">Alle </w:t>
      </w:r>
      <w:r w:rsidRPr="001463EC">
        <w:t xml:space="preserve">bouwwerken, infrastructuur, watersystemen, water, bodem, lucht, landschappen, natuur, cultureel erfgoed en werelderfgoed. De natuurlijke omgeving, waaronder ook cultuurlandschappen, hoort </w:t>
      </w:r>
      <w:r w:rsidR="00DA057E">
        <w:t xml:space="preserve">ook </w:t>
      </w:r>
      <w:r w:rsidRPr="001463EC">
        <w:t xml:space="preserve">tot de fysieke leefomgeving. Onder de natuurlijke omgeving vallen ook onderdelen als lucht, water, bodem en natuur. </w:t>
      </w:r>
    </w:p>
    <w:p w14:paraId="314B1719" w14:textId="796E5612" w:rsidR="00736569" w:rsidRPr="00341610" w:rsidRDefault="00736569" w:rsidP="00736569">
      <w:pPr>
        <w:spacing w:after="0" w:line="240" w:lineRule="auto"/>
        <w:textAlignment w:val="baseline"/>
        <w:rPr>
          <w:rFonts w:eastAsia="Times New Roman" w:cstheme="minorHAnsi"/>
          <w:b/>
          <w:bCs/>
          <w:color w:val="000000"/>
          <w:sz w:val="20"/>
          <w:szCs w:val="20"/>
          <w:lang w:eastAsia="nl-NL"/>
        </w:rPr>
      </w:pPr>
      <w:r w:rsidRPr="00736569">
        <w:rPr>
          <w:rFonts w:eastAsia="Times New Roman" w:cstheme="minorHAnsi"/>
          <w:b/>
          <w:bCs/>
          <w:color w:val="000000"/>
          <w:sz w:val="20"/>
          <w:szCs w:val="20"/>
          <w:lang w:eastAsia="nl-NL"/>
        </w:rPr>
        <w:lastRenderedPageBreak/>
        <w:t>Wat zijn de belangrijkste verschillen tussen een omgevingsvisie en een structuurvisie?</w:t>
      </w:r>
    </w:p>
    <w:p w14:paraId="523FA4D9"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p>
    <w:tbl>
      <w:tblPr>
        <w:tblW w:w="13408" w:type="dxa"/>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7034"/>
      </w:tblGrid>
      <w:tr w:rsidR="00736569" w:rsidRPr="00736569" w14:paraId="5F33BE08" w14:textId="77777777" w:rsidTr="00341610">
        <w:trPr>
          <w:tblCellSpacing w:w="6" w:type="dxa"/>
          <w:jc w:val="center"/>
        </w:trPr>
        <w:tc>
          <w:tcPr>
            <w:tcW w:w="6356" w:type="dxa"/>
            <w:shd w:val="clear" w:color="auto" w:fill="auto"/>
            <w:vAlign w:val="center"/>
            <w:hideMark/>
          </w:tcPr>
          <w:p w14:paraId="28C1F772"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b/>
                <w:bCs/>
                <w:color w:val="000000"/>
                <w:sz w:val="20"/>
                <w:szCs w:val="20"/>
                <w:bdr w:val="none" w:sz="0" w:space="0" w:color="auto" w:frame="1"/>
                <w:lang w:eastAsia="nl-NL"/>
              </w:rPr>
              <w:t>Omgevingsvisie</w:t>
            </w:r>
          </w:p>
        </w:tc>
        <w:tc>
          <w:tcPr>
            <w:tcW w:w="7016" w:type="dxa"/>
            <w:shd w:val="clear" w:color="auto" w:fill="auto"/>
            <w:vAlign w:val="center"/>
            <w:hideMark/>
          </w:tcPr>
          <w:p w14:paraId="343E9054"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b/>
                <w:bCs/>
                <w:color w:val="000000"/>
                <w:sz w:val="20"/>
                <w:szCs w:val="20"/>
                <w:bdr w:val="none" w:sz="0" w:space="0" w:color="auto" w:frame="1"/>
                <w:lang w:eastAsia="nl-NL"/>
              </w:rPr>
              <w:t>Structuurvisie</w:t>
            </w:r>
          </w:p>
        </w:tc>
      </w:tr>
      <w:tr w:rsidR="00736569" w:rsidRPr="00736569" w14:paraId="093A5F18" w14:textId="77777777" w:rsidTr="00341610">
        <w:trPr>
          <w:tblCellSpacing w:w="6" w:type="dxa"/>
          <w:jc w:val="center"/>
        </w:trPr>
        <w:tc>
          <w:tcPr>
            <w:tcW w:w="6356" w:type="dxa"/>
            <w:shd w:val="clear" w:color="auto" w:fill="auto"/>
            <w:vAlign w:val="center"/>
            <w:hideMark/>
          </w:tcPr>
          <w:p w14:paraId="5F0E18BD"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niet verplicht</w:t>
            </w:r>
          </w:p>
        </w:tc>
        <w:tc>
          <w:tcPr>
            <w:tcW w:w="7016" w:type="dxa"/>
            <w:shd w:val="clear" w:color="auto" w:fill="auto"/>
            <w:vAlign w:val="center"/>
            <w:hideMark/>
          </w:tcPr>
          <w:p w14:paraId="3AD7F0B7"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verplicht</w:t>
            </w:r>
          </w:p>
        </w:tc>
      </w:tr>
      <w:tr w:rsidR="00736569" w:rsidRPr="00736569" w14:paraId="0FEE7C59" w14:textId="77777777" w:rsidTr="00341610">
        <w:trPr>
          <w:tblCellSpacing w:w="6" w:type="dxa"/>
          <w:jc w:val="center"/>
        </w:trPr>
        <w:tc>
          <w:tcPr>
            <w:tcW w:w="6356" w:type="dxa"/>
            <w:shd w:val="clear" w:color="auto" w:fill="auto"/>
            <w:vAlign w:val="center"/>
            <w:hideMark/>
          </w:tcPr>
          <w:p w14:paraId="1F5EE18E"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naast een ontwikkel- ook beheersopgave    </w:t>
            </w:r>
          </w:p>
        </w:tc>
        <w:tc>
          <w:tcPr>
            <w:tcW w:w="7016" w:type="dxa"/>
            <w:shd w:val="clear" w:color="auto" w:fill="auto"/>
            <w:vAlign w:val="center"/>
            <w:hideMark/>
          </w:tcPr>
          <w:p w14:paraId="15FFC327"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(in hoge mate) wikkelingsgericht                    </w:t>
            </w:r>
          </w:p>
        </w:tc>
      </w:tr>
      <w:tr w:rsidR="00736569" w:rsidRPr="00736569" w14:paraId="5824865F" w14:textId="77777777" w:rsidTr="00341610">
        <w:trPr>
          <w:tblCellSpacing w:w="6" w:type="dxa"/>
          <w:jc w:val="center"/>
        </w:trPr>
        <w:tc>
          <w:tcPr>
            <w:tcW w:w="6356" w:type="dxa"/>
            <w:shd w:val="clear" w:color="auto" w:fill="auto"/>
            <w:vAlign w:val="center"/>
            <w:hideMark/>
          </w:tcPr>
          <w:p w14:paraId="4B251941"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één integrale visie</w:t>
            </w:r>
          </w:p>
        </w:tc>
        <w:tc>
          <w:tcPr>
            <w:tcW w:w="7016" w:type="dxa"/>
            <w:shd w:val="clear" w:color="auto" w:fill="auto"/>
            <w:vAlign w:val="center"/>
            <w:hideMark/>
          </w:tcPr>
          <w:p w14:paraId="6946B1EB"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één of meerdere, ook voor deelgebieden en/of sectorale aspecten (ruimte, milieu, water, natuur e.d.)</w:t>
            </w:r>
          </w:p>
        </w:tc>
      </w:tr>
      <w:tr w:rsidR="00736569" w:rsidRPr="00736569" w14:paraId="0EC72F57" w14:textId="77777777" w:rsidTr="00341610">
        <w:trPr>
          <w:tblCellSpacing w:w="6" w:type="dxa"/>
          <w:jc w:val="center"/>
        </w:trPr>
        <w:tc>
          <w:tcPr>
            <w:tcW w:w="6356" w:type="dxa"/>
            <w:shd w:val="clear" w:color="auto" w:fill="auto"/>
            <w:vAlign w:val="center"/>
            <w:hideMark/>
          </w:tcPr>
          <w:p w14:paraId="0C43C9F9"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(samenhang tussen) een ruimtelijke, economisch en sociale component</w:t>
            </w:r>
          </w:p>
        </w:tc>
        <w:tc>
          <w:tcPr>
            <w:tcW w:w="7016" w:type="dxa"/>
            <w:shd w:val="clear" w:color="auto" w:fill="auto"/>
            <w:vAlign w:val="center"/>
            <w:hideMark/>
          </w:tcPr>
          <w:p w14:paraId="1FA818AC"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veelal alleen een ruimtelijke component</w:t>
            </w:r>
          </w:p>
        </w:tc>
      </w:tr>
      <w:tr w:rsidR="00736569" w:rsidRPr="00736569" w14:paraId="016C6E50" w14:textId="77777777" w:rsidTr="00341610">
        <w:trPr>
          <w:tblCellSpacing w:w="6" w:type="dxa"/>
          <w:jc w:val="center"/>
        </w:trPr>
        <w:tc>
          <w:tcPr>
            <w:tcW w:w="6356" w:type="dxa"/>
            <w:shd w:val="clear" w:color="auto" w:fill="auto"/>
            <w:vAlign w:val="center"/>
            <w:hideMark/>
          </w:tcPr>
          <w:p w14:paraId="0A6FE092"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uniforme openbare voorbereidingsprocedure (afd. 3.4 van de Awb), dus terinzagelegging ontwerpvisie met mogelijkheid tot indienen zienswijzen</w:t>
            </w:r>
          </w:p>
        </w:tc>
        <w:tc>
          <w:tcPr>
            <w:tcW w:w="7016" w:type="dxa"/>
            <w:shd w:val="clear" w:color="auto" w:fill="auto"/>
            <w:vAlign w:val="center"/>
            <w:hideMark/>
          </w:tcPr>
          <w:p w14:paraId="0106EADA"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geen procedurele eisen</w:t>
            </w:r>
          </w:p>
        </w:tc>
      </w:tr>
    </w:tbl>
    <w:p w14:paraId="37D0A09F"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r w:rsidRPr="00736569">
        <w:rPr>
          <w:rFonts w:ascii="Verdana" w:eastAsia="Times New Roman" w:hAnsi="Verdana" w:cs="Times New Roman"/>
          <w:color w:val="000000"/>
          <w:sz w:val="20"/>
          <w:szCs w:val="20"/>
          <w:lang w:eastAsia="nl-NL"/>
        </w:rPr>
        <w:t> </w:t>
      </w:r>
    </w:p>
    <w:p w14:paraId="59AEC385"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r w:rsidRPr="00736569">
        <w:rPr>
          <w:rFonts w:ascii="Verdana" w:eastAsia="Times New Roman" w:hAnsi="Verdana" w:cs="Times New Roman"/>
          <w:color w:val="000000"/>
          <w:sz w:val="20"/>
          <w:szCs w:val="20"/>
          <w:lang w:eastAsia="nl-NL"/>
        </w:rPr>
        <w:t> </w:t>
      </w:r>
    </w:p>
    <w:p w14:paraId="52553479" w14:textId="77777777" w:rsidR="00D65683" w:rsidRPr="00D65683" w:rsidRDefault="00D65683">
      <w:pPr>
        <w:rPr>
          <w:b/>
          <w:bCs/>
        </w:rPr>
      </w:pPr>
      <w:r w:rsidRPr="00D65683">
        <w:rPr>
          <w:b/>
          <w:bCs/>
        </w:rPr>
        <w:t xml:space="preserve">De Wet ruimtelijke ordening (Wro) = </w:t>
      </w:r>
    </w:p>
    <w:p w14:paraId="4E4F932A" w14:textId="48A58F45" w:rsidR="00DA057E" w:rsidRDefault="00D65683">
      <w:r>
        <w:t xml:space="preserve">Deze wet </w:t>
      </w:r>
      <w:r w:rsidRPr="00D65683">
        <w:t xml:space="preserve">regelt hoe ruimtelijke plannen tot stand komen en welke bestuurslaag voor deze plannen verantwoordelijk is. Daarnaast regelt de Wro de verhoudingen in het ruimtelijk domein tussen de verschillende overheden en bestuursorganen in Nederland. </w:t>
      </w:r>
    </w:p>
    <w:p w14:paraId="1BFBF656" w14:textId="76F1DF8F" w:rsidR="00D65683" w:rsidRPr="00D65683" w:rsidRDefault="00D65683" w:rsidP="00D65683">
      <w:pPr>
        <w:rPr>
          <w:b/>
          <w:bCs/>
        </w:rPr>
      </w:pPr>
      <w:r w:rsidRPr="00D65683">
        <w:rPr>
          <w:b/>
          <w:bCs/>
        </w:rPr>
        <w:t>Milieueffectrapportage</w:t>
      </w:r>
      <w:r>
        <w:rPr>
          <w:b/>
          <w:bCs/>
        </w:rPr>
        <w:t xml:space="preserve"> = </w:t>
      </w:r>
    </w:p>
    <w:p w14:paraId="3416AF24" w14:textId="1AE51284" w:rsidR="00DA057E" w:rsidRDefault="00D65683" w:rsidP="00D65683">
      <w:r>
        <w:t xml:space="preserve">Besluitvorming over ruimtelijke plannen vraagt altijd om een integrale afweging tussen vele, soms tegenstrijdige, belangen. In deze afweging kan de </w:t>
      </w:r>
      <w:r w:rsidR="006C63AA">
        <w:t>milieueffectrapportage</w:t>
      </w:r>
      <w:r>
        <w:t>, natuurlijk vanuit het milieuperspectief, een positieve rol spelen.</w:t>
      </w:r>
    </w:p>
    <w:p w14:paraId="0C0E857F" w14:textId="718B347E" w:rsidR="00DA057E" w:rsidRPr="00D65683" w:rsidRDefault="00D65683">
      <w:pPr>
        <w:rPr>
          <w:b/>
          <w:bCs/>
        </w:rPr>
      </w:pPr>
      <w:r w:rsidRPr="00D65683">
        <w:rPr>
          <w:b/>
          <w:bCs/>
        </w:rPr>
        <w:t xml:space="preserve">Ministerie van Infrastructuur en waterstaat = I&amp;W </w:t>
      </w:r>
    </w:p>
    <w:p w14:paraId="2BFA2EE6" w14:textId="1349DF65" w:rsidR="00D65683" w:rsidRDefault="00D65683" w:rsidP="00D65683">
      <w:r w:rsidRPr="00D65683">
        <w:t>zet in op leefbaarheid en bereikbaarheid, met een vlotte doorstroming in een goed ingerichte, schone en veilige omgeving. Het ministerie werkt aan krachtige verbindingen over de weg, spoor, het water en door de lucht, beschermt tegen wateroverlast en bevordert de kwaliteit van lucht en water. Een leefbaar, bereikbaar en veilig Nederland. Daar werkt IenW aan.</w:t>
      </w:r>
      <w:r>
        <w:t xml:space="preserve"> Cora van Nieuwenhuizen = Minister van Infrastructuur en Waterstaat. Stientje van Veldhoven = Staatssecretaris van Infrastructuur en Waterstaat. </w:t>
      </w:r>
    </w:p>
    <w:p w14:paraId="5859BCA0" w14:textId="405A205B" w:rsidR="00D65683" w:rsidRDefault="009D4006">
      <w:r w:rsidRPr="009D4006">
        <w:rPr>
          <w:b/>
          <w:bCs/>
        </w:rPr>
        <w:t>Rijkswaterstaat</w:t>
      </w:r>
      <w:r w:rsidRPr="009D4006">
        <w:t xml:space="preserve"> is nu dé uitvoeringsorganisatie van beleid en regelgeving van het ministerie van Infrastructuur en Waterstaat (IenW).</w:t>
      </w:r>
    </w:p>
    <w:p w14:paraId="16D43DA9" w14:textId="37EC40EE" w:rsidR="009D4006" w:rsidRPr="009D4006" w:rsidRDefault="009D4006" w:rsidP="009D4006">
      <w:pPr>
        <w:rPr>
          <w:b/>
          <w:bCs/>
        </w:rPr>
      </w:pPr>
      <w:r w:rsidRPr="009D4006">
        <w:rPr>
          <w:b/>
          <w:bCs/>
        </w:rPr>
        <w:t>Gebiedsontwikkeling</w:t>
      </w:r>
      <w:r>
        <w:rPr>
          <w:b/>
          <w:bCs/>
        </w:rPr>
        <w:t xml:space="preserve"> = </w:t>
      </w:r>
    </w:p>
    <w:p w14:paraId="1AE81ACA" w14:textId="736E0721" w:rsidR="00D10DD0" w:rsidRDefault="009D4006" w:rsidP="00C56F77">
      <w:r>
        <w:t>Een gebiedsontwikkeling kenmerkt zich door een combinatie van verschillende functies, zoals wonen, bedrijven, detailhandel, groen, recreatie en infrastructuur. In het algemeen is er sprake van een zekere mate van complexiteit door bijvoorbeeld de ligging en het grote aantal belanghebbenden</w:t>
      </w:r>
      <w:r w:rsidR="002C7A19">
        <w:t>.</w:t>
      </w:r>
      <w:bookmarkStart w:id="3" w:name="_GoBack"/>
      <w:bookmarkEnd w:id="3"/>
    </w:p>
    <w:sectPr w:rsidR="00D10DD0" w:rsidSect="008138E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B"/>
    <w:rsid w:val="00100DCD"/>
    <w:rsid w:val="001463EC"/>
    <w:rsid w:val="002C7A19"/>
    <w:rsid w:val="00306557"/>
    <w:rsid w:val="00341610"/>
    <w:rsid w:val="00366D25"/>
    <w:rsid w:val="00371042"/>
    <w:rsid w:val="003D2018"/>
    <w:rsid w:val="004E593E"/>
    <w:rsid w:val="005E54F8"/>
    <w:rsid w:val="006C63AA"/>
    <w:rsid w:val="00736569"/>
    <w:rsid w:val="00787FF1"/>
    <w:rsid w:val="007C2D4B"/>
    <w:rsid w:val="008138EB"/>
    <w:rsid w:val="008376BF"/>
    <w:rsid w:val="008D6154"/>
    <w:rsid w:val="008E035D"/>
    <w:rsid w:val="009A7F72"/>
    <w:rsid w:val="009D4006"/>
    <w:rsid w:val="00A03D3E"/>
    <w:rsid w:val="00B66181"/>
    <w:rsid w:val="00C037C1"/>
    <w:rsid w:val="00C56F77"/>
    <w:rsid w:val="00D10DD0"/>
    <w:rsid w:val="00D344AF"/>
    <w:rsid w:val="00D445AE"/>
    <w:rsid w:val="00D65683"/>
    <w:rsid w:val="00DA057E"/>
    <w:rsid w:val="00DF6D04"/>
    <w:rsid w:val="00EE3CAB"/>
    <w:rsid w:val="00F70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C0CD"/>
  <w15:chartTrackingRefBased/>
  <w15:docId w15:val="{B6DF8333-5CE8-41CD-979F-359282D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1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87FF1"/>
    <w:rPr>
      <w:color w:val="0563C1" w:themeColor="hyperlink"/>
      <w:u w:val="single"/>
    </w:rPr>
  </w:style>
  <w:style w:type="character" w:styleId="Onopgelostemelding">
    <w:name w:val="Unresolved Mention"/>
    <w:basedOn w:val="Standaardalinea-lettertype"/>
    <w:uiPriority w:val="99"/>
    <w:semiHidden/>
    <w:unhideWhenUsed/>
    <w:rsid w:val="0078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8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imtelijkeplannen.nl/documents/NL.IMRO.085500002001017-/v_NL.IMRO.085500002001017-.pdf" TargetMode="External"/><Relationship Id="rId11" Type="http://schemas.openxmlformats.org/officeDocument/2006/relationships/customXml" Target="../customXml/item3.xml"/><Relationship Id="rId5" Type="http://schemas.openxmlformats.org/officeDocument/2006/relationships/hyperlink" Target="https://decentrale.regelgeving.overheid.nl/cvdr/xhtmloutput/Historie/Zeeland/CVDR230513/CVDR230513_2.html" TargetMode="External"/><Relationship Id="rId10" Type="http://schemas.openxmlformats.org/officeDocument/2006/relationships/customXml" Target="../customXml/item2.xml"/><Relationship Id="rId4" Type="http://schemas.openxmlformats.org/officeDocument/2006/relationships/hyperlink" Target="https://www.brabant.nl/dossiers/dossiers-op-thema/ruimtelijke-ordening/ruimtelijk-beleid/structuurvisie"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A8B53-7E92-40FD-8377-E2BC82BC5C96}"/>
</file>

<file path=customXml/itemProps2.xml><?xml version="1.0" encoding="utf-8"?>
<ds:datastoreItem xmlns:ds="http://schemas.openxmlformats.org/officeDocument/2006/customXml" ds:itemID="{F2B305A0-5849-459B-8715-A9D249F63C30}"/>
</file>

<file path=customXml/itemProps3.xml><?xml version="1.0" encoding="utf-8"?>
<ds:datastoreItem xmlns:ds="http://schemas.openxmlformats.org/officeDocument/2006/customXml" ds:itemID="{86BA5B8B-9985-46E8-856F-5AF97FCC7DBD}"/>
</file>

<file path=docProps/app.xml><?xml version="1.0" encoding="utf-8"?>
<Properties xmlns="http://schemas.openxmlformats.org/officeDocument/2006/extended-properties" xmlns:vt="http://schemas.openxmlformats.org/officeDocument/2006/docPropsVTypes">
  <Template>Normal</Template>
  <TotalTime>32</TotalTime>
  <Pages>4</Pages>
  <Words>1173</Words>
  <Characters>6453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5</cp:revision>
  <dcterms:created xsi:type="dcterms:W3CDTF">2019-09-01T14:54:00Z</dcterms:created>
  <dcterms:modified xsi:type="dcterms:W3CDTF">2019-09-01T18:29:00Z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